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drawing>
          <wp:inline xmlns:a="http://schemas.openxmlformats.org/drawingml/2006/main" xmlns:pic="http://schemas.openxmlformats.org/drawingml/2006/picture">
            <wp:extent cx="1691640" cy="580233"/>
            <wp:docPr id="1" name="Picture 1"/>
            <wp:cNvGraphicFramePr>
              <a:graphicFrameLocks noChangeAspect="1"/>
            </wp:cNvGraphicFramePr>
            <a:graphic>
              <a:graphicData uri="http://schemas.openxmlformats.org/drawingml/2006/picture">
                <pic:pic>
                  <pic:nvPicPr>
                    <pic:cNvPr id="0" name="ins-mktg-tag.png"/>
                    <pic:cNvPicPr/>
                  </pic:nvPicPr>
                  <pic:blipFill>
                    <a:blip r:embed="rId9"/>
                    <a:stretch>
                      <a:fillRect/>
                    </a:stretch>
                  </pic:blipFill>
                  <pic:spPr>
                    <a:xfrm>
                      <a:off x="0" y="0"/>
                      <a:ext cx="1691640" cy="580233"/>
                    </a:xfrm>
                    <a:prstGeom prst="rect"/>
                  </pic:spPr>
                </pic:pic>
              </a:graphicData>
            </a:graphic>
          </wp:inline>
        </w:drawing>
      </w:r>
    </w:p>
    <w:p>
      <w:pPr>
        <w:pStyle w:val="Title"/>
      </w:pPr>
      <w:r>
        <w:rPr>
          <w:rFonts w:ascii="Arial" w:hAnsi="Arial"/>
          <w:color w:val="082E6F"/>
          <w:sz w:val="48"/>
        </w:rPr>
        <w:t>Social Media Caption Guide</w:t>
      </w:r>
    </w:p>
    <w:tbl>
      <w:tblPr>
        <w:tblStyle w:val="TableGrid"/>
        <w:tblW w:type="auto" w:w="0"/>
        <w:jc w:val="center"/>
        <w:tblLook w:firstColumn="1" w:firstRow="1" w:lastColumn="0" w:lastRow="0" w:noHBand="0" w:noVBand="1" w:val="04A0"/>
      </w:tblPr>
      <w:tblGrid>
        <w:gridCol w:w="3456"/>
        <w:gridCol w:w="3456"/>
        <w:gridCol w:w="3456"/>
      </w:tblGrid>
      <w:tr>
        <w:tc>
          <w:tcPr>
            <w:tcW w:type="dxa" w:w="3456"/>
            <w:shd w:fill="082E6F"/>
            <w:vAlign w:val="top"/>
          </w:tcPr>
          <w:p>
            <w:r>
              <w:rPr>
                <w:b/>
                <w:color w:val="FFFFFF"/>
                <w:sz w:val="20"/>
              </w:rPr>
              <w:t>Graphic</w:t>
            </w:r>
          </w:p>
        </w:tc>
        <w:tc>
          <w:tcPr>
            <w:tcW w:type="dxa" w:w="3456"/>
            <w:shd w:fill="082E6F"/>
            <w:vAlign w:val="top"/>
          </w:tcPr>
          <w:p>
            <w:r>
              <w:rPr>
                <w:b/>
                <w:color w:val="FFFFFF"/>
                <w:sz w:val="20"/>
              </w:rPr>
              <w:t>Caption</w:t>
            </w:r>
          </w:p>
        </w:tc>
        <w:tc>
          <w:tcPr>
            <w:tcW w:type="dxa" w:w="3456"/>
            <w:shd w:fill="082E6F"/>
            <w:vAlign w:val="top"/>
          </w:tcPr>
          <w:p>
            <w:r>
              <w:rPr>
                <w:b/>
                <w:color w:val="FFFFFF"/>
                <w:sz w:val="20"/>
              </w:rPr>
              <w:t>Suggested CTA</w:t>
            </w:r>
          </w:p>
        </w:tc>
      </w:tr>
      <w:tr>
        <w:tc>
          <w:tcPr>
            <w:tcW w:type="dxa" w:w="3456"/>
            <w:vAlign w:val="top"/>
          </w:tcPr>
          <w:p>
            <w:r>
              <w:rPr>
                <w:rFonts w:ascii="Arial" w:hAnsi="Arial"/>
                <w:color w:val="172C52"/>
                <w:sz w:val="19"/>
              </w:rPr>
              <w:t>Medicare Made Simple</w:t>
            </w:r>
          </w:p>
        </w:tc>
        <w:tc>
          <w:tcPr>
            <w:tcW w:type="dxa" w:w="3456"/>
            <w:vAlign w:val="top"/>
          </w:tcPr>
          <w:p>
            <w:r>
              <w:rPr>
                <w:rFonts w:ascii="Arial" w:hAnsi="Arial"/>
                <w:color w:val="172C52"/>
                <w:sz w:val="19"/>
              </w:rPr>
              <w:t>Medicare can feel complicated. A licensed agent can help you understand your options, enrollment timing, prescriptions, and provider preferences.</w:t>
            </w:r>
          </w:p>
        </w:tc>
        <w:tc>
          <w:tcPr>
            <w:tcW w:type="dxa" w:w="3456"/>
            <w:vAlign w:val="top"/>
          </w:tcPr>
          <w:p>
            <w:r>
              <w:rPr>
                <w:rFonts w:ascii="Arial" w:hAnsi="Arial"/>
                <w:color w:val="172C52"/>
                <w:sz w:val="19"/>
              </w:rPr>
              <w:t>Schedule a Medicare review</w:t>
            </w:r>
          </w:p>
        </w:tc>
      </w:tr>
      <w:tr>
        <w:tc>
          <w:tcPr>
            <w:tcW w:type="dxa" w:w="3456"/>
            <w:vAlign w:val="top"/>
          </w:tcPr>
          <w:p>
            <w:r>
              <w:rPr>
                <w:rFonts w:ascii="Arial" w:hAnsi="Arial"/>
                <w:color w:val="172C52"/>
                <w:sz w:val="19"/>
              </w:rPr>
              <w:t>Application Checklist</w:t>
            </w:r>
          </w:p>
        </w:tc>
        <w:tc>
          <w:tcPr>
            <w:tcW w:type="dxa" w:w="3456"/>
            <w:vAlign w:val="top"/>
          </w:tcPr>
          <w:p>
            <w:r>
              <w:rPr>
                <w:rFonts w:ascii="Arial" w:hAnsi="Arial"/>
                <w:color w:val="172C52"/>
                <w:sz w:val="19"/>
              </w:rPr>
              <w:t>Getting ready for a Medicare review? Bring your Medicare card, medication list, doctors, pharmacy, and any current coverage cards.</w:t>
            </w:r>
          </w:p>
        </w:tc>
        <w:tc>
          <w:tcPr>
            <w:tcW w:type="dxa" w:w="3456"/>
            <w:vAlign w:val="top"/>
          </w:tcPr>
          <w:p>
            <w:r>
              <w:rPr>
                <w:rFonts w:ascii="Arial" w:hAnsi="Arial"/>
                <w:color w:val="172C52"/>
                <w:sz w:val="19"/>
              </w:rPr>
              <w:t>Download the checklist</w:t>
            </w:r>
          </w:p>
        </w:tc>
      </w:tr>
      <w:tr>
        <w:tc>
          <w:tcPr>
            <w:tcW w:type="dxa" w:w="3456"/>
            <w:vAlign w:val="top"/>
          </w:tcPr>
          <w:p>
            <w:r>
              <w:rPr>
                <w:rFonts w:ascii="Arial" w:hAnsi="Arial"/>
                <w:color w:val="172C52"/>
                <w:sz w:val="19"/>
              </w:rPr>
              <w:t>AEP Review</w:t>
            </w:r>
          </w:p>
        </w:tc>
        <w:tc>
          <w:tcPr>
            <w:tcW w:type="dxa" w:w="3456"/>
            <w:vAlign w:val="top"/>
          </w:tcPr>
          <w:p>
            <w:r>
              <w:rPr>
                <w:rFonts w:ascii="Arial" w:hAnsi="Arial"/>
                <w:color w:val="172C52"/>
                <w:sz w:val="19"/>
              </w:rPr>
              <w:t>Medicare Open Enrollment runs October 15-December 7 each year. Review your coverage before making a decision.</w:t>
            </w:r>
          </w:p>
        </w:tc>
        <w:tc>
          <w:tcPr>
            <w:tcW w:type="dxa" w:w="3456"/>
            <w:vAlign w:val="top"/>
          </w:tcPr>
          <w:p>
            <w:r>
              <w:rPr>
                <w:rFonts w:ascii="Arial" w:hAnsi="Arial"/>
                <w:color w:val="172C52"/>
                <w:sz w:val="19"/>
              </w:rPr>
              <w:t>Book your annual review</w:t>
            </w:r>
          </w:p>
        </w:tc>
      </w:tr>
      <w:tr>
        <w:tc>
          <w:tcPr>
            <w:tcW w:type="dxa" w:w="3456"/>
            <w:vAlign w:val="top"/>
          </w:tcPr>
          <w:p>
            <w:r>
              <w:rPr>
                <w:rFonts w:ascii="Arial" w:hAnsi="Arial"/>
                <w:color w:val="172C52"/>
                <w:sz w:val="19"/>
              </w:rPr>
              <w:t>Who Pays First</w:t>
            </w:r>
          </w:p>
        </w:tc>
        <w:tc>
          <w:tcPr>
            <w:tcW w:type="dxa" w:w="3456"/>
            <w:vAlign w:val="top"/>
          </w:tcPr>
          <w:p>
            <w:r>
              <w:rPr>
                <w:rFonts w:ascii="Arial" w:hAnsi="Arial"/>
                <w:color w:val="172C52"/>
                <w:sz w:val="19"/>
              </w:rPr>
              <w:t>Have employer, retiree, Medicaid, VA, TRICARE, or other coverage? Coordination rules matter. Review before changing coverage.</w:t>
            </w:r>
          </w:p>
        </w:tc>
        <w:tc>
          <w:tcPr>
            <w:tcW w:type="dxa" w:w="3456"/>
            <w:vAlign w:val="top"/>
          </w:tcPr>
          <w:p>
            <w:r>
              <w:rPr>
                <w:rFonts w:ascii="Arial" w:hAnsi="Arial"/>
                <w:color w:val="172C52"/>
                <w:sz w:val="19"/>
              </w:rPr>
              <w:t>Ask how other coverage works</w:t>
            </w:r>
          </w:p>
        </w:tc>
      </w:tr>
      <w:tr>
        <w:tc>
          <w:tcPr>
            <w:tcW w:type="dxa" w:w="3456"/>
            <w:vAlign w:val="top"/>
          </w:tcPr>
          <w:p>
            <w:r>
              <w:rPr>
                <w:rFonts w:ascii="Arial" w:hAnsi="Arial"/>
                <w:color w:val="172C52"/>
                <w:sz w:val="19"/>
              </w:rPr>
              <w:t>Part D 2026</w:t>
            </w:r>
          </w:p>
        </w:tc>
        <w:tc>
          <w:tcPr>
            <w:tcW w:type="dxa" w:w="3456"/>
            <w:vAlign w:val="top"/>
          </w:tcPr>
          <w:p>
            <w:r>
              <w:rPr>
                <w:rFonts w:ascii="Arial" w:hAnsi="Arial"/>
                <w:color w:val="172C52"/>
                <w:sz w:val="19"/>
              </w:rPr>
              <w:t>For 2026, covered Part D drug costs have a yearly out-of-pocket cap. Your actual costs still depend on your plan, drugs, and pharmacy.</w:t>
            </w:r>
          </w:p>
        </w:tc>
        <w:tc>
          <w:tcPr>
            <w:tcW w:type="dxa" w:w="3456"/>
            <w:vAlign w:val="top"/>
          </w:tcPr>
          <w:p>
            <w:r>
              <w:rPr>
                <w:rFonts w:ascii="Arial" w:hAnsi="Arial"/>
                <w:color w:val="172C52"/>
                <w:sz w:val="19"/>
              </w:rPr>
              <w:t>Review prescriptions</w:t>
            </w:r>
          </w:p>
        </w:tc>
      </w:tr>
    </w:tbl>
    <w:p/>
    <w:p>
      <w:r>
        <w:rPr>
          <w:color w:val="506280"/>
          <w:sz w:val="16"/>
        </w:rPr>
        <w:t>Educational resource only. Not connected with or endorsed by the U.S. government or the federal Medicare program. Benefits, costs, networks, formularies, and enrollment rules may change. Always review official Medicare.gov materials and plan documents before enrolling.</w:t>
      </w:r>
    </w:p>
    <w:p>
      <w:r>
        <w:rPr>
          <w:color w:val="506280"/>
          <w:sz w:val="16"/>
        </w:rPr>
        <w:t>Sources: Medicare &amp; You 2026: https://www.medicare.gov/publications/10050-medicare-and-you.pdf; How Medicare Works with Other Insurance: https://www.medicare.gov/publications/02179-how-medicare-works-with-other-insurance.pdf; Your Medicare in 2026: What You Need to Know: https://www.medicare.gov/publications/12229-your-medicare-in-2026-what-you-need-to-know.pdf; Your Medicare Benefits: https://www.medicare.gov/publications/10116-your-medicare-benefits.pdf; 2026 Medicare Parts A &amp; B Premiums and Deductibles: https://www.cms.gov/newsroom/fact-sheets/2026-medicare-parts-b-premiums-deductibles</w:t>
      </w:r>
    </w:p>
    <w:sectPr w:rsidR="00FC693F" w:rsidRPr="0006063C" w:rsidSect="00034616">
      <w:pgSz w:w="12240" w:h="15840"/>
      <w:pgMar w:top="792" w:right="936" w:bottom="792"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