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691640" cy="580233"/>
            <wp:docPr id="1" name="Picture 1"/>
            <wp:cNvGraphicFramePr>
              <a:graphicFrameLocks noChangeAspect="1"/>
            </wp:cNvGraphicFramePr>
            <a:graphic>
              <a:graphicData uri="http://schemas.openxmlformats.org/drawingml/2006/picture">
                <pic:pic>
                  <pic:nvPicPr>
                    <pic:cNvPr id="0" name="ins-mktg-tag.png"/>
                    <pic:cNvPicPr/>
                  </pic:nvPicPr>
                  <pic:blipFill>
                    <a:blip r:embed="rId9"/>
                    <a:stretch>
                      <a:fillRect/>
                    </a:stretch>
                  </pic:blipFill>
                  <pic:spPr>
                    <a:xfrm>
                      <a:off x="0" y="0"/>
                      <a:ext cx="1691640" cy="580233"/>
                    </a:xfrm>
                    <a:prstGeom prst="rect"/>
                  </pic:spPr>
                </pic:pic>
              </a:graphicData>
            </a:graphic>
          </wp:inline>
        </w:drawing>
      </w:r>
    </w:p>
    <w:p>
      <w:pPr>
        <w:pStyle w:val="Title"/>
      </w:pPr>
      <w:r>
        <w:rPr>
          <w:rFonts w:ascii="Arial" w:hAnsi="Arial"/>
          <w:color w:val="082E6F"/>
          <w:sz w:val="48"/>
        </w:rPr>
        <w:t>Medicare Application Checklist</w:t>
      </w:r>
    </w:p>
    <w:p>
      <w:r>
        <w:t>Use this checklist before a Medicare application or plan review appointment. Complete what applies and bring questions to your licensed agent.</w:t>
      </w:r>
    </w:p>
    <w:p>
      <w:pPr>
        <w:pStyle w:val="Heading1"/>
      </w:pPr>
      <w:r>
        <w:t>Identification and Eligibility</w:t>
      </w:r>
    </w:p>
    <w:p>
      <w:r>
        <w:t>[ ] Medicare card or Social Security/Medicare eligibility information</w:t>
      </w:r>
    </w:p>
    <w:p>
      <w:r>
        <w:t>[ ] Legal name as it appears on Medicare records</w:t>
      </w:r>
    </w:p>
    <w:p>
      <w:r>
        <w:t>[ ] Date of birth and permanent address</w:t>
      </w:r>
    </w:p>
    <w:p>
      <w:r>
        <w:t>[ ] Preferred phone and email</w:t>
      </w:r>
    </w:p>
    <w:p>
      <w:pPr>
        <w:pStyle w:val="Heading1"/>
      </w:pPr>
      <w:r>
        <w:t>Current Coverage</w:t>
      </w:r>
    </w:p>
    <w:p>
      <w:r>
        <w:t>[ ] Current Medicare, employer, retiree, union, COBRA, Medicaid, VA, TRICARE, or other insurance cards</w:t>
      </w:r>
    </w:p>
    <w:p>
      <w:r>
        <w:t>[ ] Any letters or notices from Medicare, Social Security, employer, union, or current plan</w:t>
      </w:r>
    </w:p>
    <w:p>
      <w:r>
        <w:t>[ ] Current premium payment method if applicable</w:t>
      </w:r>
    </w:p>
    <w:p>
      <w:pPr>
        <w:pStyle w:val="Heading1"/>
      </w:pPr>
      <w:r>
        <w:t>Prescription Drugs</w:t>
      </w:r>
    </w:p>
    <w:p>
      <w:r>
        <w:t>[ ] Drug name, dosage, frequency, and prescribing doctor</w:t>
      </w:r>
    </w:p>
    <w:p>
      <w:r>
        <w:t>[ ] Preferred pharmacy and mail-order preference</w:t>
      </w:r>
    </w:p>
    <w:p>
      <w:r>
        <w:t>[ ] Any prior authorization, step therapy, or quantity-limit concerns</w:t>
      </w:r>
    </w:p>
    <w:p>
      <w:r>
        <w:t>[ ] Estimated monthly medication costs if known</w:t>
      </w:r>
    </w:p>
    <w:p>
      <w:pPr>
        <w:pStyle w:val="Heading1"/>
      </w:pPr>
      <w:r>
        <w:t>Doctors and Care Preferences</w:t>
      </w:r>
    </w:p>
    <w:p>
      <w:r>
        <w:t>[ ] Primary care doctor and specialists</w:t>
      </w:r>
    </w:p>
    <w:p>
      <w:r>
        <w:t>[ ] Hospitals, clinics, labs, and pharmacies you prefer</w:t>
      </w:r>
    </w:p>
    <w:p>
      <w:r>
        <w:t>[ ] Travel, seasonal address, or out-of-area care needs</w:t>
      </w:r>
    </w:p>
    <w:p>
      <w:r>
        <w:t>[ ] Dental, vision, hearing, fitness, OTC, transportation, or home support priorities</w:t>
      </w:r>
    </w:p>
    <w:p>
      <w:pPr>
        <w:pStyle w:val="Heading1"/>
      </w:pPr>
      <w:r>
        <w:t>Budget and Decision Factors</w:t>
      </w:r>
    </w:p>
    <w:p>
      <w:r>
        <w:t>[ ] Monthly premium comfort range</w:t>
      </w:r>
    </w:p>
    <w:p>
      <w:r>
        <w:t>[ ] Concern about copays, coinsurance, deductibles, and maximum out-of-pocket</w:t>
      </w:r>
    </w:p>
    <w:p>
      <w:r>
        <w:t>[ ] Preference for broad provider access vs. extra benefits</w:t>
      </w:r>
    </w:p>
    <w:p>
      <w:r>
        <w:t>[ ] Questions about Original Medicare, Medigap, Medicare Advantage, and Part D</w:t>
      </w:r>
    </w:p>
    <w:p>
      <w:pPr>
        <w:pStyle w:val="Heading1"/>
      </w:pPr>
      <w:r>
        <w:t>Appointment Notes</w:t>
      </w:r>
    </w:p>
    <w:tbl>
      <w:tblPr>
        <w:tblStyle w:val="TableGrid"/>
        <w:tblW w:type="auto" w:w="0"/>
        <w:jc w:val="center"/>
        <w:tblLook w:firstColumn="1" w:firstRow="1" w:lastColumn="0" w:lastRow="0" w:noHBand="0" w:noVBand="1" w:val="04A0"/>
      </w:tblPr>
      <w:tblGrid>
        <w:gridCol w:w="3456"/>
        <w:gridCol w:w="3456"/>
        <w:gridCol w:w="3456"/>
      </w:tblGrid>
      <w:tr>
        <w:tc>
          <w:tcPr>
            <w:tcW w:type="dxa" w:w="3456"/>
            <w:shd w:fill="082E6F"/>
            <w:vAlign w:val="top"/>
          </w:tcPr>
          <w:p>
            <w:r>
              <w:rPr>
                <w:b/>
                <w:color w:val="FFFFFF"/>
                <w:sz w:val="20"/>
              </w:rPr>
              <w:t>Question / Topic</w:t>
            </w:r>
          </w:p>
        </w:tc>
        <w:tc>
          <w:tcPr>
            <w:tcW w:type="dxa" w:w="3456"/>
            <w:shd w:fill="082E6F"/>
            <w:vAlign w:val="top"/>
          </w:tcPr>
          <w:p>
            <w:r>
              <w:rPr>
                <w:b/>
                <w:color w:val="FFFFFF"/>
                <w:sz w:val="20"/>
              </w:rPr>
              <w:t>Notes</w:t>
            </w:r>
          </w:p>
        </w:tc>
        <w:tc>
          <w:tcPr>
            <w:tcW w:type="dxa" w:w="3456"/>
            <w:shd w:fill="082E6F"/>
            <w:vAlign w:val="top"/>
          </w:tcPr>
          <w:p>
            <w:r>
              <w:rPr>
                <w:b/>
                <w:color w:val="FFFFFF"/>
                <w:sz w:val="20"/>
              </w:rPr>
              <w:t>Follow-up needed?</w:t>
            </w:r>
          </w:p>
        </w:tc>
      </w:tr>
      <w:tr>
        <w:tc>
          <w:tcPr>
            <w:tcW w:type="dxa" w:w="3456"/>
            <w:vAlign w:val="top"/>
          </w:tcPr>
          <w:p>
            <w:r>
              <w:rPr>
                <w:rFonts w:ascii="Arial" w:hAnsi="Arial"/>
                <w:color w:val="172C52"/>
                <w:sz w:val="19"/>
              </w:rPr>
            </w:r>
          </w:p>
        </w:tc>
        <w:tc>
          <w:tcPr>
            <w:tcW w:type="dxa" w:w="3456"/>
            <w:vAlign w:val="top"/>
          </w:tcPr>
          <w:p>
            <w:r>
              <w:rPr>
                <w:rFonts w:ascii="Arial" w:hAnsi="Arial"/>
                <w:color w:val="172C52"/>
                <w:sz w:val="19"/>
              </w:rPr>
            </w:r>
          </w:p>
        </w:tc>
        <w:tc>
          <w:tcPr>
            <w:tcW w:type="dxa" w:w="3456"/>
            <w:vAlign w:val="top"/>
          </w:tcPr>
          <w:p>
            <w:r>
              <w:rPr>
                <w:rFonts w:ascii="Arial" w:hAnsi="Arial"/>
                <w:color w:val="172C52"/>
                <w:sz w:val="19"/>
              </w:rPr>
            </w:r>
          </w:p>
        </w:tc>
      </w:tr>
      <w:tr>
        <w:tc>
          <w:tcPr>
            <w:tcW w:type="dxa" w:w="3456"/>
            <w:vAlign w:val="top"/>
          </w:tcPr>
          <w:p>
            <w:r>
              <w:rPr>
                <w:rFonts w:ascii="Arial" w:hAnsi="Arial"/>
                <w:color w:val="172C52"/>
                <w:sz w:val="19"/>
              </w:rPr>
            </w:r>
          </w:p>
        </w:tc>
        <w:tc>
          <w:tcPr>
            <w:tcW w:type="dxa" w:w="3456"/>
            <w:vAlign w:val="top"/>
          </w:tcPr>
          <w:p>
            <w:r>
              <w:rPr>
                <w:rFonts w:ascii="Arial" w:hAnsi="Arial"/>
                <w:color w:val="172C52"/>
                <w:sz w:val="19"/>
              </w:rPr>
            </w:r>
          </w:p>
        </w:tc>
        <w:tc>
          <w:tcPr>
            <w:tcW w:type="dxa" w:w="3456"/>
            <w:vAlign w:val="top"/>
          </w:tcPr>
          <w:p>
            <w:r>
              <w:rPr>
                <w:rFonts w:ascii="Arial" w:hAnsi="Arial"/>
                <w:color w:val="172C52"/>
                <w:sz w:val="19"/>
              </w:rPr>
            </w:r>
          </w:p>
        </w:tc>
      </w:tr>
      <w:tr>
        <w:tc>
          <w:tcPr>
            <w:tcW w:type="dxa" w:w="3456"/>
            <w:vAlign w:val="top"/>
          </w:tcPr>
          <w:p>
            <w:r>
              <w:rPr>
                <w:rFonts w:ascii="Arial" w:hAnsi="Arial"/>
                <w:color w:val="172C52"/>
                <w:sz w:val="19"/>
              </w:rPr>
            </w:r>
          </w:p>
        </w:tc>
        <w:tc>
          <w:tcPr>
            <w:tcW w:type="dxa" w:w="3456"/>
            <w:vAlign w:val="top"/>
          </w:tcPr>
          <w:p>
            <w:r>
              <w:rPr>
                <w:rFonts w:ascii="Arial" w:hAnsi="Arial"/>
                <w:color w:val="172C52"/>
                <w:sz w:val="19"/>
              </w:rPr>
            </w:r>
          </w:p>
        </w:tc>
        <w:tc>
          <w:tcPr>
            <w:tcW w:type="dxa" w:w="3456"/>
            <w:vAlign w:val="top"/>
          </w:tcPr>
          <w:p>
            <w:r>
              <w:rPr>
                <w:rFonts w:ascii="Arial" w:hAnsi="Arial"/>
                <w:color w:val="172C52"/>
                <w:sz w:val="19"/>
              </w:rPr>
            </w:r>
          </w:p>
        </w:tc>
      </w:tr>
      <w:tr>
        <w:tc>
          <w:tcPr>
            <w:tcW w:type="dxa" w:w="3456"/>
            <w:vAlign w:val="top"/>
          </w:tcPr>
          <w:p>
            <w:r>
              <w:rPr>
                <w:rFonts w:ascii="Arial" w:hAnsi="Arial"/>
                <w:color w:val="172C52"/>
                <w:sz w:val="19"/>
              </w:rPr>
            </w:r>
          </w:p>
        </w:tc>
        <w:tc>
          <w:tcPr>
            <w:tcW w:type="dxa" w:w="3456"/>
            <w:vAlign w:val="top"/>
          </w:tcPr>
          <w:p>
            <w:r>
              <w:rPr>
                <w:rFonts w:ascii="Arial" w:hAnsi="Arial"/>
                <w:color w:val="172C52"/>
                <w:sz w:val="19"/>
              </w:rPr>
            </w:r>
          </w:p>
        </w:tc>
        <w:tc>
          <w:tcPr>
            <w:tcW w:type="dxa" w:w="3456"/>
            <w:vAlign w:val="top"/>
          </w:tcPr>
          <w:p>
            <w:r>
              <w:rPr>
                <w:rFonts w:ascii="Arial" w:hAnsi="Arial"/>
                <w:color w:val="172C52"/>
                <w:sz w:val="19"/>
              </w:rPr>
            </w:r>
          </w:p>
        </w:tc>
      </w:tr>
    </w:tbl>
    <w:p/>
    <w:p>
      <w:r>
        <w:rPr>
          <w:color w:val="506280"/>
          <w:sz w:val="16"/>
        </w:rPr>
        <w:t>Educational resource only. Not connected with or endorsed by the U.S. government or the federal Medicare program. Benefits, costs, networks, formularies, and enrollment rules may change. Always review official Medicare.gov materials and plan documents before enrolling.</w:t>
      </w:r>
    </w:p>
    <w:p>
      <w:r>
        <w:rPr>
          <w:color w:val="506280"/>
          <w:sz w:val="16"/>
        </w:rPr>
        <w:t>Sources: Medicare &amp; You 2026: https://www.medicare.gov/publications/10050-medicare-and-you.pdf; How Medicare Works with Other Insurance: https://www.medicare.gov/publications/02179-how-medicare-works-with-other-insurance.pdf; Your Medicare in 2026: What You Need to Know: https://www.medicare.gov/publications/12229-your-medicare-in-2026-what-you-need-to-know.pdf; Your Medicare Benefits: https://www.medicare.gov/publications/10116-your-medicare-benefits.pdf; 2026 Medicare Parts A &amp; B Premiums and Deductibles: https://www.cms.gov/newsroom/fact-sheets/2026-medicare-parts-b-premiums-deductibles</w:t>
      </w:r>
    </w:p>
    <w:sectPr w:rsidR="00FC693F" w:rsidRPr="0006063C" w:rsidSect="00034616">
      <w:pgSz w:w="12240" w:h="15840"/>
      <w:pgMar w:top="792"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